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1A" w:rsidRDefault="006B4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</w:pPr>
      <w:r>
        <w:t>Estudos Preliminares</w:t>
      </w:r>
    </w:p>
    <w:p w:rsidR="00D1131A" w:rsidRDefault="006B4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  <w:r>
        <w:t>(Processo administrativo n° 23076.059875/2021-41)</w:t>
      </w:r>
    </w:p>
    <w:p w:rsidR="00D1131A" w:rsidRDefault="006B4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</w:pPr>
      <w:r>
        <w:t>Equipe de Planejamento da Contratação</w:t>
      </w:r>
    </w:p>
    <w:p w:rsidR="00D1131A" w:rsidRDefault="006B4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  <w:r>
        <w:t>(PORTARIA DE DESIGNAÇÃO Nº 28, DE 12 DE MAIO DE 2021 /DLC-PROGEST)</w:t>
      </w:r>
    </w:p>
    <w:p w:rsidR="00D1131A" w:rsidRDefault="006B41DD">
      <w:pPr>
        <w:pStyle w:val="Ttulo"/>
      </w:pPr>
      <w:r>
        <w:t>ANEXO I</w:t>
      </w:r>
      <w:r w:rsidR="00A567AC">
        <w:t>II</w:t>
      </w:r>
      <w:r>
        <w:br/>
        <w:t>INSTRUMENTO DE MEDIÇÃO DE RESULTADOS – IMR</w:t>
      </w:r>
    </w:p>
    <w:p w:rsidR="00D1131A" w:rsidRDefault="006B41DD">
      <w:pPr>
        <w:ind w:firstLine="720"/>
      </w:pPr>
      <w:r>
        <w:t>Fica instituído, como parte integrante do contrato celebrado, o instrumento de medição de resultados, o qual tem por objetivo medir a qualidade dos serviços prestados pela CONTRATADA.</w:t>
      </w:r>
    </w:p>
    <w:p w:rsidR="00D1131A" w:rsidRDefault="006B41DD">
      <w:pPr>
        <w:ind w:firstLine="720"/>
      </w:pPr>
      <w:r>
        <w:t>A medição da qualidade dos serviços prestados pela CONTRATADA será feita pelo Fiscal por meio de sistema de pontuação, cujo resultado definirá o valora ser pago no período avaliado.</w:t>
      </w:r>
    </w:p>
    <w:p w:rsidR="00D1131A" w:rsidRDefault="006B41DD">
      <w:pPr>
        <w:ind w:firstLine="720"/>
      </w:pPr>
      <w:r>
        <w:t>As situações abrangidas pelo presente instrumento se referem a fatos cotidianos da execução do contrato, não isentando a CONTRATADA das demais responsabilidades ou sanções legalmente previstas.</w:t>
      </w:r>
    </w:p>
    <w:p w:rsidR="00D1131A" w:rsidRDefault="006B41DD">
      <w:pPr>
        <w:ind w:firstLine="720"/>
      </w:pPr>
      <w:r>
        <w:t>A CONTRATANTE poderá alterar os procedimentos metodológicos de avaliação durante a execução contratual sempre que o novo sistema se mostrar mais eficiente que o anterior e não houver prejuízos para a CONTRATADA.</w:t>
      </w:r>
    </w:p>
    <w:p w:rsidR="00D1131A" w:rsidRDefault="006B41DD">
      <w:pPr>
        <w:ind w:firstLine="720"/>
      </w:pPr>
      <w:r>
        <w:t>A utilização do IMR não impede a aplicação concomitante de outros mecanismos para a avaliação da prestação dos serviços.</w:t>
      </w:r>
    </w:p>
    <w:p w:rsidR="00D1131A" w:rsidRDefault="006B41DD">
      <w:pPr>
        <w:pStyle w:val="Ttulo1"/>
        <w:numPr>
          <w:ilvl w:val="0"/>
          <w:numId w:val="1"/>
        </w:numPr>
      </w:pPr>
      <w:r>
        <w:t>DA DEFINIÇÃO</w:t>
      </w:r>
    </w:p>
    <w:p w:rsidR="00D1131A" w:rsidRDefault="006B41DD">
      <w:pPr>
        <w:numPr>
          <w:ilvl w:val="1"/>
          <w:numId w:val="1"/>
        </w:numPr>
        <w:spacing w:after="100"/>
      </w:pPr>
      <w:r>
        <w:t>Este documento apresenta os critérios de avaliação da qualidade dos serviços, identificando indicadores, metas, mecanismos de cálculo, forma de acompanhamento e adequações de pagamento por eventual não atendimento das metas estabelecidas.</w:t>
      </w:r>
    </w:p>
    <w:p w:rsidR="00D1131A" w:rsidRDefault="006B41DD">
      <w:pPr>
        <w:numPr>
          <w:ilvl w:val="1"/>
          <w:numId w:val="1"/>
        </w:numPr>
        <w:spacing w:after="100"/>
      </w:pPr>
      <w:r>
        <w:t xml:space="preserve">Este anexo é parte indissociável do Contrato para a contratação de empresa para execução da </w:t>
      </w:r>
      <w:r>
        <w:rPr>
          <w:b/>
        </w:rPr>
        <w:t>Ampliação e Reforma do Restaurante Universitário do Campus Joaquim Amazonas da Universidade Federal de Pernambuco</w:t>
      </w:r>
      <w:r>
        <w:t xml:space="preserve"> (UFPE) firmado a partir do Edital e de seus demais anexos.</w:t>
      </w:r>
    </w:p>
    <w:p w:rsidR="00D1131A" w:rsidRDefault="006B41DD">
      <w:pPr>
        <w:pStyle w:val="Ttulo1"/>
        <w:numPr>
          <w:ilvl w:val="0"/>
          <w:numId w:val="1"/>
        </w:numPr>
      </w:pPr>
      <w:r>
        <w:t>DOS INDICADORES, DAS METAS E DOS MECANISMOS DE CÁLCULO</w:t>
      </w:r>
    </w:p>
    <w:p w:rsidR="00D1131A" w:rsidRDefault="006B41DD">
      <w:pPr>
        <w:numPr>
          <w:ilvl w:val="1"/>
          <w:numId w:val="1"/>
        </w:numPr>
        <w:spacing w:after="100"/>
      </w:pPr>
      <w:r>
        <w:t>Os serviços contratados serão avaliados por meio de 04 (quatro) indicadores de qualidade: uso dos EPI e uniformes, atraso no pagamento de salários e outros benefícios, falta de materiais previstos em contrato e qualidade dos serviços prestados.</w:t>
      </w:r>
    </w:p>
    <w:p w:rsidR="00D1131A" w:rsidRDefault="006B41DD">
      <w:pPr>
        <w:numPr>
          <w:ilvl w:val="1"/>
          <w:numId w:val="1"/>
        </w:numPr>
        <w:spacing w:after="100"/>
      </w:pPr>
      <w:r>
        <w:lastRenderedPageBreak/>
        <w:t>Aos indicadores serão atribuídos pontos de qualidade, conforme critérios apresentados nas tabelas abaixo.</w:t>
      </w:r>
    </w:p>
    <w:p w:rsidR="00D1131A" w:rsidRDefault="006B41DD">
      <w:pPr>
        <w:numPr>
          <w:ilvl w:val="2"/>
          <w:numId w:val="1"/>
        </w:numPr>
        <w:spacing w:after="100"/>
      </w:pPr>
      <w:r>
        <w:t>Cada indicador contribui com uma quantidade diferenciada de pontos de qualidade. Essa diferença está relacionada à essencialidade do indicador para a qualidade dos serviços.</w:t>
      </w:r>
    </w:p>
    <w:p w:rsidR="00D1131A" w:rsidRDefault="006B41DD">
      <w:pPr>
        <w:numPr>
          <w:ilvl w:val="2"/>
          <w:numId w:val="1"/>
        </w:numPr>
        <w:spacing w:after="100"/>
      </w:pPr>
      <w:r>
        <w:t>A pontuação final de qualidade dos serviços pode resultar em valores entre 0 (zero) e 100 (cem), correspondentes, respectivamente, às situações de serviço desprovido de qualidade e serviço com qualidade elevada.</w:t>
      </w:r>
    </w:p>
    <w:p w:rsidR="00D1131A" w:rsidRDefault="006B41DD">
      <w:pPr>
        <w:numPr>
          <w:ilvl w:val="1"/>
          <w:numId w:val="1"/>
        </w:numPr>
        <w:spacing w:after="100"/>
      </w:pPr>
      <w:r>
        <w:t>Nas tabelas abaixo apresentamos os indicadores, as metas, os critérios e os mecanismos de cálculo da pontuação de qualidade.</w:t>
      </w:r>
    </w:p>
    <w:tbl>
      <w:tblPr>
        <w:tblStyle w:val="afa"/>
        <w:tblW w:w="8850" w:type="dxa"/>
        <w:tblInd w:w="426" w:type="dxa"/>
        <w:tblLayout w:type="fixed"/>
        <w:tblLook w:val="0000"/>
      </w:tblPr>
      <w:tblGrid>
        <w:gridCol w:w="2955"/>
        <w:gridCol w:w="5895"/>
      </w:tblGrid>
      <w:tr w:rsidR="00D1131A">
        <w:trPr>
          <w:trHeight w:val="420"/>
        </w:trPr>
        <w:tc>
          <w:tcPr>
            <w:tcW w:w="885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1F1F1"/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INDICADOR 1 – USO DE EPI, EPC E UNIFORMES</w:t>
            </w:r>
          </w:p>
        </w:tc>
      </w:tr>
      <w:tr w:rsidR="00D1131A">
        <w:trPr>
          <w:trHeight w:val="411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</w:tr>
      <w:tr w:rsidR="00D1131A">
        <w:trPr>
          <w:trHeight w:val="985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Finalidade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Mensurar o atendimento às exigências específicas relacionadas à segurança do trabalho, fornecimento e uso dos uniformes</w:t>
            </w:r>
          </w:p>
        </w:tc>
      </w:tr>
      <w:tr w:rsidR="00D1131A">
        <w:trPr>
          <w:trHeight w:val="418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Meta a Cumprir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Nenhuma ocorrência no mês</w:t>
            </w:r>
          </w:p>
        </w:tc>
      </w:tr>
      <w:tr w:rsidR="00D1131A">
        <w:trPr>
          <w:trHeight w:val="410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Instrumento de Medição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Constatação Formal da Ocorrência</w:t>
            </w:r>
          </w:p>
        </w:tc>
      </w:tr>
      <w:tr w:rsidR="00D1131A">
        <w:trPr>
          <w:trHeight w:val="699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Forma de Acompanhamento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Ação do Fiscal de Contrato mediante anotações no livro de registro de ocorrências</w:t>
            </w:r>
          </w:p>
        </w:tc>
      </w:tr>
      <w:tr w:rsidR="00D1131A">
        <w:trPr>
          <w:trHeight w:val="412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Periodicidade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Diária, com aferição mensal resultado</w:t>
            </w:r>
          </w:p>
        </w:tc>
      </w:tr>
      <w:tr w:rsidR="00D1131A">
        <w:trPr>
          <w:trHeight w:val="687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Mecanismo de Cálculo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Verificação da quantidade de ocorrências registradas no mês de referência (pessoa/dia)</w:t>
            </w:r>
          </w:p>
        </w:tc>
      </w:tr>
      <w:tr w:rsidR="00D1131A">
        <w:trPr>
          <w:trHeight w:val="428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Início da vigência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Com o início da prestação do serviço</w:t>
            </w:r>
          </w:p>
        </w:tc>
      </w:tr>
      <w:tr w:rsidR="00D1131A">
        <w:trPr>
          <w:trHeight w:val="240"/>
        </w:trPr>
        <w:tc>
          <w:tcPr>
            <w:tcW w:w="29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Faixas de ajuste no pagamento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Sem ocorrências:10 pontos</w:t>
            </w:r>
          </w:p>
        </w:tc>
      </w:tr>
      <w:tr w:rsidR="00D1131A">
        <w:trPr>
          <w:trHeight w:val="240"/>
        </w:trPr>
        <w:tc>
          <w:tcPr>
            <w:tcW w:w="295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Uma ocorrência: 8 pontos</w:t>
            </w:r>
          </w:p>
        </w:tc>
      </w:tr>
      <w:tr w:rsidR="00D1131A">
        <w:trPr>
          <w:trHeight w:val="240"/>
        </w:trPr>
        <w:tc>
          <w:tcPr>
            <w:tcW w:w="295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Duas ocorrências: 6 pontos</w:t>
            </w:r>
          </w:p>
        </w:tc>
      </w:tr>
      <w:tr w:rsidR="00D1131A">
        <w:trPr>
          <w:trHeight w:val="241"/>
        </w:trPr>
        <w:tc>
          <w:tcPr>
            <w:tcW w:w="295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Três ocorrências: 4 pontos</w:t>
            </w:r>
          </w:p>
        </w:tc>
      </w:tr>
      <w:tr w:rsidR="00D1131A">
        <w:trPr>
          <w:trHeight w:val="240"/>
        </w:trPr>
        <w:tc>
          <w:tcPr>
            <w:tcW w:w="295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Quatro ocorrências:2 pontos</w:t>
            </w:r>
          </w:p>
        </w:tc>
      </w:tr>
      <w:tr w:rsidR="00D1131A">
        <w:trPr>
          <w:trHeight w:val="240"/>
        </w:trPr>
        <w:tc>
          <w:tcPr>
            <w:tcW w:w="295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Cinco ou mais ocorrências: 0 ponto</w:t>
            </w:r>
          </w:p>
        </w:tc>
      </w:tr>
      <w:tr w:rsidR="00D1131A">
        <w:trPr>
          <w:trHeight w:val="240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Sanções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Ver item 3.2</w:t>
            </w:r>
          </w:p>
        </w:tc>
      </w:tr>
      <w:tr w:rsidR="00D1131A" w:rsidTr="00731602">
        <w:trPr>
          <w:trHeight w:val="585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Observações</w:t>
            </w:r>
          </w:p>
        </w:tc>
        <w:tc>
          <w:tcPr>
            <w:tcW w:w="5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Atender aos dispostos da Lei nº 6,514 de 22/12/1977 ou lei que a substitui, além das suas normas reguladoras, tais como: NR 6, NR 10, NR18 entre outras</w:t>
            </w:r>
          </w:p>
        </w:tc>
      </w:tr>
    </w:tbl>
    <w:p w:rsidR="00D1131A" w:rsidRDefault="00D1131A">
      <w:pPr>
        <w:tabs>
          <w:tab w:val="left" w:pos="284"/>
          <w:tab w:val="left" w:pos="993"/>
        </w:tabs>
        <w:spacing w:before="120" w:after="120"/>
        <w:rPr>
          <w:sz w:val="6"/>
          <w:szCs w:val="6"/>
        </w:rPr>
      </w:pPr>
    </w:p>
    <w:tbl>
      <w:tblPr>
        <w:tblStyle w:val="afb"/>
        <w:tblW w:w="8862" w:type="dxa"/>
        <w:tblInd w:w="435" w:type="dxa"/>
        <w:tblLayout w:type="fixed"/>
        <w:tblLook w:val="0000"/>
      </w:tblPr>
      <w:tblGrid>
        <w:gridCol w:w="2957"/>
        <w:gridCol w:w="5905"/>
      </w:tblGrid>
      <w:tr w:rsidR="00D1131A">
        <w:trPr>
          <w:trHeight w:val="474"/>
        </w:trPr>
        <w:tc>
          <w:tcPr>
            <w:tcW w:w="886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1F1F1"/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INDICADOR 2 – ATRASO NO PAGAMENTO DE SALÁRIOS E BENEFÍCIOS</w:t>
            </w:r>
          </w:p>
        </w:tc>
      </w:tr>
      <w:tr w:rsidR="00D1131A">
        <w:trPr>
          <w:trHeight w:val="240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1131A" w:rsidRDefault="006B41DD">
            <w:pPr>
              <w:tabs>
                <w:tab w:val="left" w:pos="35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</w:tr>
      <w:tr w:rsidR="00D1131A">
        <w:trPr>
          <w:trHeight w:val="475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Finalidade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Mitigar as ocorrências de atrasos nos pagamentos</w:t>
            </w:r>
          </w:p>
        </w:tc>
      </w:tr>
      <w:tr w:rsidR="00D1131A">
        <w:trPr>
          <w:trHeight w:val="424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Meta a Cumprir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Zero ocorrência no mês</w:t>
            </w:r>
          </w:p>
        </w:tc>
      </w:tr>
      <w:tr w:rsidR="00D1131A">
        <w:trPr>
          <w:trHeight w:val="404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Instrumento de Medição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Constatação Formal da Ocorrência</w:t>
            </w:r>
          </w:p>
        </w:tc>
      </w:tr>
      <w:tr w:rsidR="00D1131A">
        <w:trPr>
          <w:trHeight w:val="694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Forma de acompanhamento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Ação do Fiscal de Contrato mediante anotações no livro de registro de ocorrências.</w:t>
            </w:r>
          </w:p>
        </w:tc>
      </w:tr>
      <w:tr w:rsidR="00D1131A">
        <w:trPr>
          <w:trHeight w:val="973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Periodicidade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Mensal, nos termos do Art. 459, §1º, do Decreto-Lei 5452/43, ou data base fornecida por convenção coletiva da categoria.</w:t>
            </w:r>
          </w:p>
        </w:tc>
      </w:tr>
      <w:tr w:rsidR="00D1131A">
        <w:trPr>
          <w:trHeight w:val="704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Mecanismo de Cálculo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Identificação de, pelo menos, uma ocorrência de atraso no mês de referência</w:t>
            </w:r>
          </w:p>
        </w:tc>
      </w:tr>
      <w:tr w:rsidR="00D1131A">
        <w:trPr>
          <w:trHeight w:val="416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Início da vigência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Com o início da prestação do serviço</w:t>
            </w:r>
          </w:p>
        </w:tc>
      </w:tr>
      <w:tr w:rsidR="00D1131A">
        <w:trPr>
          <w:trHeight w:val="422"/>
        </w:trPr>
        <w:tc>
          <w:tcPr>
            <w:tcW w:w="29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Faixas de ajuste no pagamento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Sem ocorrências = 30 pontos</w:t>
            </w:r>
          </w:p>
        </w:tc>
      </w:tr>
      <w:tr w:rsidR="00D1131A">
        <w:trPr>
          <w:trHeight w:val="413"/>
        </w:trPr>
        <w:tc>
          <w:tcPr>
            <w:tcW w:w="2957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Uma ou mais ocorrência = 0 ponto</w:t>
            </w:r>
          </w:p>
        </w:tc>
      </w:tr>
      <w:tr w:rsidR="00D1131A">
        <w:trPr>
          <w:trHeight w:val="420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Sanções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Ver item 3.2</w:t>
            </w:r>
          </w:p>
        </w:tc>
      </w:tr>
      <w:tr w:rsidR="00D1131A">
        <w:trPr>
          <w:trHeight w:val="398"/>
        </w:trPr>
        <w:tc>
          <w:tcPr>
            <w:tcW w:w="2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Observações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Atender ao disposto do Art.459, §1º da CLT</w:t>
            </w:r>
          </w:p>
        </w:tc>
      </w:tr>
    </w:tbl>
    <w:p w:rsidR="00D1131A" w:rsidRDefault="00D1131A"/>
    <w:tbl>
      <w:tblPr>
        <w:tblStyle w:val="afc"/>
        <w:tblW w:w="8880" w:type="dxa"/>
        <w:tblInd w:w="435" w:type="dxa"/>
        <w:tblLayout w:type="fixed"/>
        <w:tblLook w:val="0000"/>
      </w:tblPr>
      <w:tblGrid>
        <w:gridCol w:w="2955"/>
        <w:gridCol w:w="5925"/>
      </w:tblGrid>
      <w:tr w:rsidR="00D1131A">
        <w:trPr>
          <w:trHeight w:val="609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1F1F1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INDICADOR 3 – FALTA DE MATERIAIS E/OU EQUIPAMENTOS PREVISTOS NO CONTRATO</w:t>
            </w:r>
          </w:p>
        </w:tc>
      </w:tr>
      <w:tr w:rsidR="00D1131A">
        <w:trPr>
          <w:trHeight w:val="239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</w:tr>
      <w:tr w:rsidR="00D1131A">
        <w:trPr>
          <w:trHeight w:val="868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Finalidade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before="5" w:after="0" w:line="240" w:lineRule="auto"/>
              <w:ind w:left="84" w:right="91"/>
            </w:pPr>
            <w:r>
              <w:t>Garantir o nível de fornecimento e abastecimento dos materiais estimados necessários à execução do contrato</w:t>
            </w:r>
          </w:p>
        </w:tc>
      </w:tr>
      <w:tr w:rsidR="00D1131A">
        <w:trPr>
          <w:trHeight w:val="414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Meta a Cumprir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Nenhuma ocorrência no mês</w:t>
            </w:r>
          </w:p>
        </w:tc>
      </w:tr>
      <w:tr w:rsidR="00D1131A">
        <w:trPr>
          <w:trHeight w:val="406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Instrumento de Medição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Constatação formal das ocorrências</w:t>
            </w:r>
          </w:p>
        </w:tc>
      </w:tr>
      <w:tr w:rsidR="00D1131A">
        <w:trPr>
          <w:trHeight w:val="978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Forma de acompanhamento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Por intermédio da ação do fiscal de Contrato, mediante lançamentos no livro de ocorrências (registros)</w:t>
            </w:r>
          </w:p>
        </w:tc>
      </w:tr>
      <w:tr w:rsidR="00D1131A">
        <w:trPr>
          <w:trHeight w:val="412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Periodicidade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Por evento constatado</w:t>
            </w:r>
          </w:p>
        </w:tc>
      </w:tr>
      <w:tr w:rsidR="00D1131A">
        <w:trPr>
          <w:trHeight w:val="701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Mecanismo de Cálculo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Identificação de pelo menos uma ocorrência de falta de materiais e/ou equipamento no mês de referência</w:t>
            </w:r>
          </w:p>
        </w:tc>
      </w:tr>
      <w:tr w:rsidR="00D1131A">
        <w:trPr>
          <w:trHeight w:val="413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lastRenderedPageBreak/>
              <w:t>Início da vigência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Com o início da prestação do serviço</w:t>
            </w:r>
          </w:p>
        </w:tc>
      </w:tr>
      <w:tr w:rsidR="00D1131A">
        <w:trPr>
          <w:trHeight w:val="436"/>
        </w:trPr>
        <w:tc>
          <w:tcPr>
            <w:tcW w:w="29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Faixas de ajuste no pagamento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Sem ocorrências = 30 Pontos</w:t>
            </w:r>
          </w:p>
        </w:tc>
      </w:tr>
      <w:tr w:rsidR="00D1131A">
        <w:trPr>
          <w:trHeight w:val="414"/>
        </w:trPr>
        <w:tc>
          <w:tcPr>
            <w:tcW w:w="295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Uma ou mais ocorrências = 0 Ponto</w:t>
            </w:r>
          </w:p>
        </w:tc>
      </w:tr>
      <w:tr w:rsidR="00D1131A">
        <w:trPr>
          <w:trHeight w:val="359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Sanções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Ver item 3.2</w:t>
            </w:r>
          </w:p>
        </w:tc>
      </w:tr>
      <w:tr w:rsidR="00D1131A">
        <w:trPr>
          <w:trHeight w:val="975"/>
        </w:trPr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Observações</w:t>
            </w:r>
          </w:p>
        </w:tc>
        <w:tc>
          <w:tcPr>
            <w:tcW w:w="5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Falta de materiais e/ou equipamentos que provoquem atraso na execução de serviços, conforme cronograma da obra</w:t>
            </w:r>
          </w:p>
        </w:tc>
      </w:tr>
    </w:tbl>
    <w:p w:rsidR="00D1131A" w:rsidRDefault="00D11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>
    <w:tbl>
      <w:tblPr>
        <w:tblStyle w:val="afd"/>
        <w:tblW w:w="9214" w:type="dxa"/>
        <w:tblInd w:w="142" w:type="dxa"/>
        <w:tblLayout w:type="fixed"/>
        <w:tblLook w:val="0000"/>
      </w:tblPr>
      <w:tblGrid>
        <w:gridCol w:w="270"/>
        <w:gridCol w:w="2955"/>
        <w:gridCol w:w="5989"/>
      </w:tblGrid>
      <w:tr w:rsidR="00D1131A" w:rsidTr="00731602">
        <w:trPr>
          <w:trHeight w:val="443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8944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1F1F1"/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INDICADOR 4 – QUALIDADE DOS SERVIÇOS PRESTADOS</w:t>
            </w:r>
          </w:p>
        </w:tc>
      </w:tr>
      <w:tr w:rsidR="00D1131A" w:rsidTr="00731602">
        <w:trPr>
          <w:trHeight w:val="240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</w:tr>
      <w:tr w:rsidR="00D1131A" w:rsidTr="00731602">
        <w:trPr>
          <w:trHeight w:val="639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Finalidade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Garantir o nível de qualidade global na prestação dos serviços</w:t>
            </w:r>
          </w:p>
        </w:tc>
      </w:tr>
      <w:tr w:rsidR="00D1131A" w:rsidTr="00731602">
        <w:trPr>
          <w:trHeight w:val="422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Meta a Cumprir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Quanto maior melhor</w:t>
            </w:r>
          </w:p>
        </w:tc>
      </w:tr>
      <w:tr w:rsidR="00D1131A" w:rsidTr="00731602">
        <w:trPr>
          <w:trHeight w:val="414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Instrumento de Medição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Constatação formal das ocorrências</w:t>
            </w:r>
          </w:p>
        </w:tc>
      </w:tr>
      <w:tr w:rsidR="00D1131A" w:rsidTr="00731602">
        <w:trPr>
          <w:trHeight w:val="703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Forma de Acompanhamento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Por intermédio da ação do fiscal de Contrato, mediante lançamentos no livro de ocorrências(registros)</w:t>
            </w:r>
          </w:p>
        </w:tc>
      </w:tr>
      <w:tr w:rsidR="00D1131A" w:rsidTr="00731602">
        <w:trPr>
          <w:trHeight w:val="416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Periodicidade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Por evento constatado</w:t>
            </w:r>
          </w:p>
        </w:tc>
      </w:tr>
      <w:tr w:rsidR="00D1131A" w:rsidTr="00731602">
        <w:trPr>
          <w:trHeight w:val="677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Mecanismo de Cálculo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Descrita na Planilha de Avaliação da Qualidade dos Serviços Prestados</w:t>
            </w:r>
          </w:p>
        </w:tc>
      </w:tr>
      <w:tr w:rsidR="00D1131A" w:rsidTr="00731602">
        <w:trPr>
          <w:trHeight w:val="418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Início da vigência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Com o início da prestação do serviço</w:t>
            </w:r>
          </w:p>
        </w:tc>
      </w:tr>
      <w:tr w:rsidR="00D1131A" w:rsidTr="00731602">
        <w:trPr>
          <w:trHeight w:val="693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Faixas de ajuste no pagamento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Sem ocorrências = 30 Pontos</w:t>
            </w:r>
          </w:p>
        </w:tc>
      </w:tr>
      <w:tr w:rsidR="00D1131A" w:rsidTr="00731602">
        <w:trPr>
          <w:trHeight w:val="420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Sanções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Ver item 3.2</w:t>
            </w:r>
          </w:p>
        </w:tc>
      </w:tr>
      <w:tr w:rsidR="00D1131A" w:rsidTr="00731602">
        <w:trPr>
          <w:trHeight w:val="411"/>
        </w:trPr>
        <w:tc>
          <w:tcPr>
            <w:tcW w:w="270" w:type="dxa"/>
          </w:tcPr>
          <w:p w:rsidR="00D1131A" w:rsidRDefault="00D1131A">
            <w:pPr>
              <w:widowControl w:val="0"/>
              <w:spacing w:after="0"/>
            </w:pPr>
          </w:p>
        </w:tc>
        <w:tc>
          <w:tcPr>
            <w:tcW w:w="2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jc w:val="left"/>
            </w:pPr>
            <w:r>
              <w:t>Observações</w:t>
            </w:r>
          </w:p>
        </w:tc>
        <w:tc>
          <w:tcPr>
            <w:tcW w:w="5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  <w:rPr>
                <w:color w:val="FF0000"/>
              </w:rPr>
            </w:pPr>
            <w:r w:rsidRPr="00731602">
              <w:rPr>
                <w:color w:val="auto"/>
              </w:rPr>
              <w:t>Ocorrê</w:t>
            </w:r>
            <w:sdt>
              <w:sdtPr>
                <w:rPr>
                  <w:color w:val="auto"/>
                </w:rPr>
                <w:tag w:val="goog_rdk_1"/>
                <w:id w:val="218645027"/>
              </w:sdtPr>
              <w:sdtContent/>
            </w:sdt>
            <w:r w:rsidRPr="00731602">
              <w:rPr>
                <w:color w:val="auto"/>
              </w:rPr>
              <w:t>ncia de serviços realizados em qualidade inferior à exigida pelo projeto executivo e/ou normas técnicas aplicáveis</w:t>
            </w:r>
            <w:r>
              <w:rPr>
                <w:color w:val="FF0000"/>
              </w:rPr>
              <w:t>.</w:t>
            </w:r>
          </w:p>
        </w:tc>
      </w:tr>
    </w:tbl>
    <w:p w:rsidR="00D1131A" w:rsidRDefault="00D1131A">
      <w:pPr>
        <w:spacing w:before="9" w:line="100" w:lineRule="auto"/>
      </w:pPr>
    </w:p>
    <w:p w:rsidR="00D1131A" w:rsidRDefault="006B41DD">
      <w:pPr>
        <w:pStyle w:val="Ttulo1"/>
        <w:numPr>
          <w:ilvl w:val="0"/>
          <w:numId w:val="1"/>
        </w:numPr>
      </w:pPr>
      <w:r>
        <w:t>FAIXAS DE AJUSTE DE PAGAMENTO</w:t>
      </w:r>
    </w:p>
    <w:p w:rsidR="00D1131A" w:rsidRDefault="00D1131A">
      <w:pPr>
        <w:spacing w:before="3" w:after="0" w:line="120" w:lineRule="auto"/>
      </w:pPr>
    </w:p>
    <w:p w:rsidR="00D1131A" w:rsidRDefault="006B41DD">
      <w:pPr>
        <w:numPr>
          <w:ilvl w:val="1"/>
          <w:numId w:val="1"/>
        </w:numPr>
        <w:spacing w:after="100"/>
      </w:pPr>
      <w:r>
        <w:t>As pontuações de qualidade devem ser totalizadas para o mês de referência, conforme métodos apresentados nas tabelas acima.</w:t>
      </w:r>
    </w:p>
    <w:p w:rsidR="00D1131A" w:rsidRDefault="006B41DD">
      <w:pPr>
        <w:numPr>
          <w:ilvl w:val="2"/>
          <w:numId w:val="1"/>
        </w:numPr>
        <w:spacing w:after="0"/>
        <w:ind w:right="198"/>
      </w:pPr>
      <w:r>
        <w:t>A aplicação dos critérios de averiguação da qualidade resultará em uma pontuação final no intervalo de 0 a 100 pontos, correspondente a soma das pontuações obtidas para cada indicador, conforme fórmula abaixo:</w:t>
      </w:r>
    </w:p>
    <w:p w:rsidR="00D1131A" w:rsidRDefault="00D1131A">
      <w:pPr>
        <w:spacing w:after="0"/>
        <w:ind w:left="720" w:right="198"/>
      </w:pPr>
    </w:p>
    <w:tbl>
      <w:tblPr>
        <w:tblStyle w:val="afe"/>
        <w:tblW w:w="8670" w:type="dxa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670"/>
      </w:tblGrid>
      <w:tr w:rsidR="00D1131A" w:rsidTr="00731602">
        <w:trPr>
          <w:trHeight w:val="691"/>
        </w:trPr>
        <w:tc>
          <w:tcPr>
            <w:tcW w:w="8670" w:type="dxa"/>
            <w:vAlign w:val="center"/>
          </w:tcPr>
          <w:p w:rsidR="00D1131A" w:rsidRDefault="006B41DD">
            <w:pPr>
              <w:jc w:val="center"/>
            </w:pPr>
            <w:r>
              <w:t>Pontuação total do serviço = Pontos “Indicador 1” + Pontos “Indicador 2”</w:t>
            </w:r>
          </w:p>
          <w:p w:rsidR="00D1131A" w:rsidRDefault="006B41DD">
            <w:pPr>
              <w:jc w:val="center"/>
            </w:pPr>
            <w:r>
              <w:t>+ Pontos “Indicador 3” + Pontos “Indicador 4”</w:t>
            </w:r>
          </w:p>
        </w:tc>
      </w:tr>
    </w:tbl>
    <w:p w:rsidR="00D1131A" w:rsidRDefault="00D1131A">
      <w:pPr>
        <w:spacing w:after="0"/>
        <w:ind w:right="198"/>
      </w:pPr>
    </w:p>
    <w:p w:rsidR="00D1131A" w:rsidRDefault="006B41DD">
      <w:pPr>
        <w:numPr>
          <w:ilvl w:val="1"/>
          <w:numId w:val="1"/>
        </w:numPr>
        <w:spacing w:before="34" w:after="100"/>
        <w:ind w:right="200"/>
      </w:pPr>
      <w:r>
        <w:t>Os pagamentos devidos, relativos a cada mês de referência, devem ser ajustados pela pontuação total do serviço, conforme tabela e fórmula apresentadas abaixo:</w:t>
      </w:r>
    </w:p>
    <w:tbl>
      <w:tblPr>
        <w:tblStyle w:val="aff"/>
        <w:tblW w:w="8730" w:type="dxa"/>
        <w:tblInd w:w="576" w:type="dxa"/>
        <w:tblLayout w:type="fixed"/>
        <w:tblLook w:val="0000"/>
      </w:tblPr>
      <w:tblGrid>
        <w:gridCol w:w="2895"/>
        <w:gridCol w:w="2910"/>
        <w:gridCol w:w="2925"/>
      </w:tblGrid>
      <w:tr w:rsidR="00D1131A">
        <w:trPr>
          <w:trHeight w:val="443"/>
        </w:trPr>
        <w:tc>
          <w:tcPr>
            <w:tcW w:w="2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Faixa de Pontuação</w:t>
            </w:r>
          </w:p>
        </w:tc>
        <w:tc>
          <w:tcPr>
            <w:tcW w:w="2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Pagamento Devido</w:t>
            </w:r>
          </w:p>
        </w:tc>
        <w:tc>
          <w:tcPr>
            <w:tcW w:w="2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Fator de Ajuste</w:t>
            </w:r>
          </w:p>
        </w:tc>
      </w:tr>
      <w:tr w:rsidR="00D1131A">
        <w:trPr>
          <w:trHeight w:val="242"/>
        </w:trPr>
        <w:tc>
          <w:tcPr>
            <w:tcW w:w="2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80 a 100</w:t>
            </w:r>
          </w:p>
        </w:tc>
        <w:tc>
          <w:tcPr>
            <w:tcW w:w="2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100%</w:t>
            </w:r>
          </w:p>
        </w:tc>
        <w:tc>
          <w:tcPr>
            <w:tcW w:w="2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1,00</w:t>
            </w:r>
          </w:p>
        </w:tc>
      </w:tr>
      <w:tr w:rsidR="00D1131A">
        <w:trPr>
          <w:trHeight w:val="242"/>
        </w:trPr>
        <w:tc>
          <w:tcPr>
            <w:tcW w:w="2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70 a 79</w:t>
            </w:r>
          </w:p>
        </w:tc>
        <w:tc>
          <w:tcPr>
            <w:tcW w:w="2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97%</w:t>
            </w:r>
          </w:p>
        </w:tc>
        <w:tc>
          <w:tcPr>
            <w:tcW w:w="2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0,97</w:t>
            </w:r>
          </w:p>
        </w:tc>
      </w:tr>
      <w:tr w:rsidR="00D1131A">
        <w:trPr>
          <w:trHeight w:val="242"/>
        </w:trPr>
        <w:tc>
          <w:tcPr>
            <w:tcW w:w="2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60 a 69</w:t>
            </w:r>
          </w:p>
        </w:tc>
        <w:tc>
          <w:tcPr>
            <w:tcW w:w="2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95%</w:t>
            </w:r>
          </w:p>
        </w:tc>
        <w:tc>
          <w:tcPr>
            <w:tcW w:w="2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0,95</w:t>
            </w:r>
          </w:p>
        </w:tc>
      </w:tr>
      <w:tr w:rsidR="00D1131A">
        <w:trPr>
          <w:trHeight w:val="242"/>
        </w:trPr>
        <w:tc>
          <w:tcPr>
            <w:tcW w:w="2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50a 59</w:t>
            </w:r>
          </w:p>
        </w:tc>
        <w:tc>
          <w:tcPr>
            <w:tcW w:w="2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93%</w:t>
            </w:r>
          </w:p>
        </w:tc>
        <w:tc>
          <w:tcPr>
            <w:tcW w:w="2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0,93</w:t>
            </w:r>
          </w:p>
        </w:tc>
      </w:tr>
      <w:tr w:rsidR="00D1131A">
        <w:trPr>
          <w:trHeight w:val="242"/>
        </w:trPr>
        <w:tc>
          <w:tcPr>
            <w:tcW w:w="2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40 a 49</w:t>
            </w:r>
          </w:p>
        </w:tc>
        <w:tc>
          <w:tcPr>
            <w:tcW w:w="2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90%</w:t>
            </w:r>
          </w:p>
        </w:tc>
        <w:tc>
          <w:tcPr>
            <w:tcW w:w="2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0,90</w:t>
            </w:r>
          </w:p>
        </w:tc>
      </w:tr>
      <w:tr w:rsidR="00D1131A">
        <w:trPr>
          <w:trHeight w:val="928"/>
        </w:trPr>
        <w:tc>
          <w:tcPr>
            <w:tcW w:w="2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Abaixo de 40</w:t>
            </w:r>
          </w:p>
        </w:tc>
        <w:tc>
          <w:tcPr>
            <w:tcW w:w="2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90% mais multa</w:t>
            </w:r>
          </w:p>
        </w:tc>
        <w:tc>
          <w:tcPr>
            <w:tcW w:w="2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123" w:right="90"/>
            </w:pPr>
            <w:r>
              <w:t>0,90 + avaliar a necessidade de aplicação da multa contratual</w:t>
            </w:r>
          </w:p>
        </w:tc>
      </w:tr>
      <w:tr w:rsidR="00D1131A" w:rsidTr="00731602">
        <w:trPr>
          <w:trHeight w:val="545"/>
        </w:trPr>
        <w:tc>
          <w:tcPr>
            <w:tcW w:w="87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131A" w:rsidRDefault="006B41DD">
            <w:pPr>
              <w:spacing w:line="220" w:lineRule="auto"/>
              <w:ind w:left="102" w:right="93"/>
            </w:pPr>
            <w:r>
              <w:t>Valor devido por ordem de serviço = (Valor mensal previsto) x (Fator de ajuste de nível de serviço)</w:t>
            </w:r>
          </w:p>
        </w:tc>
      </w:tr>
    </w:tbl>
    <w:p w:rsidR="00D1131A" w:rsidRDefault="006B41DD">
      <w:pPr>
        <w:numPr>
          <w:ilvl w:val="1"/>
          <w:numId w:val="1"/>
        </w:numPr>
        <w:spacing w:before="200"/>
        <w:ind w:left="448" w:hanging="448"/>
      </w:pPr>
      <w:r>
        <w:t>A avaliação abaixo de 40 pontos por três vezes poderá ensejar a rescisão do contrato.</w:t>
      </w:r>
    </w:p>
    <w:p w:rsidR="00D1131A" w:rsidRDefault="006B41DD">
      <w:pPr>
        <w:pStyle w:val="Ttulo1"/>
        <w:numPr>
          <w:ilvl w:val="0"/>
          <w:numId w:val="1"/>
        </w:numPr>
      </w:pPr>
      <w:r>
        <w:t>CHECKLIST PARA A AVALIAÇÃO DE NÍVEL DOS SERVIÇOS</w:t>
      </w:r>
    </w:p>
    <w:p w:rsidR="00D1131A" w:rsidRDefault="00D1131A">
      <w:pPr>
        <w:spacing w:before="7" w:line="100" w:lineRule="auto"/>
      </w:pPr>
    </w:p>
    <w:tbl>
      <w:tblPr>
        <w:tblStyle w:val="aff0"/>
        <w:tblW w:w="8775" w:type="dxa"/>
        <w:tblInd w:w="527" w:type="dxa"/>
        <w:tblLayout w:type="fixed"/>
        <w:tblLook w:val="0000"/>
      </w:tblPr>
      <w:tblGrid>
        <w:gridCol w:w="2535"/>
        <w:gridCol w:w="2880"/>
        <w:gridCol w:w="1282"/>
        <w:gridCol w:w="2078"/>
      </w:tblGrid>
      <w:tr w:rsidR="00D1131A" w:rsidTr="00731602">
        <w:trPr>
          <w:trHeight w:val="364"/>
        </w:trPr>
        <w:tc>
          <w:tcPr>
            <w:tcW w:w="2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02" w:right="805"/>
              <w:jc w:val="center"/>
              <w:rPr>
                <w:b/>
              </w:rPr>
            </w:pPr>
            <w:r>
              <w:rPr>
                <w:b/>
              </w:rPr>
              <w:t>Critério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146"/>
              <w:jc w:val="center"/>
              <w:rPr>
                <w:b/>
              </w:rPr>
            </w:pPr>
            <w:r>
              <w:rPr>
                <w:b/>
              </w:rPr>
              <w:t>Pontos</w:t>
            </w:r>
          </w:p>
        </w:tc>
        <w:tc>
          <w:tcPr>
            <w:tcW w:w="2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Avaliação</w:t>
            </w:r>
          </w:p>
        </w:tc>
      </w:tr>
      <w:tr w:rsidR="00D1131A" w:rsidTr="00731602">
        <w:trPr>
          <w:trHeight w:val="240"/>
        </w:trPr>
        <w:tc>
          <w:tcPr>
            <w:tcW w:w="2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1 – Uso de Uniforme e EPI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Sem ocorrências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0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1131A" w:rsidRDefault="00D1131A"/>
        </w:tc>
      </w:tr>
      <w:tr w:rsidR="00D1131A" w:rsidTr="00731602">
        <w:trPr>
          <w:trHeight w:val="240"/>
        </w:trPr>
        <w:tc>
          <w:tcPr>
            <w:tcW w:w="253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1 ocorrência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07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1131A" w:rsidRDefault="00D1131A">
            <w:pPr>
              <w:widowControl w:val="0"/>
              <w:spacing w:after="0"/>
              <w:jc w:val="left"/>
            </w:pPr>
          </w:p>
        </w:tc>
      </w:tr>
      <w:tr w:rsidR="00D1131A" w:rsidTr="00731602">
        <w:trPr>
          <w:trHeight w:val="240"/>
        </w:trPr>
        <w:tc>
          <w:tcPr>
            <w:tcW w:w="253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2 ocorrências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07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1131A" w:rsidRDefault="00D1131A">
            <w:pPr>
              <w:widowControl w:val="0"/>
              <w:spacing w:after="0"/>
              <w:jc w:val="left"/>
            </w:pPr>
          </w:p>
        </w:tc>
      </w:tr>
      <w:tr w:rsidR="00D1131A" w:rsidTr="00731602">
        <w:trPr>
          <w:trHeight w:val="240"/>
        </w:trPr>
        <w:tc>
          <w:tcPr>
            <w:tcW w:w="253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3 Ocorrências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07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1131A" w:rsidRDefault="00D1131A">
            <w:pPr>
              <w:widowControl w:val="0"/>
              <w:spacing w:after="0"/>
              <w:jc w:val="left"/>
            </w:pPr>
          </w:p>
        </w:tc>
      </w:tr>
      <w:tr w:rsidR="00D1131A" w:rsidTr="00731602">
        <w:trPr>
          <w:trHeight w:val="240"/>
        </w:trPr>
        <w:tc>
          <w:tcPr>
            <w:tcW w:w="253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4 Ocorrências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07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1131A" w:rsidRDefault="00D1131A">
            <w:pPr>
              <w:widowControl w:val="0"/>
              <w:spacing w:after="0"/>
              <w:jc w:val="left"/>
            </w:pPr>
          </w:p>
        </w:tc>
      </w:tr>
      <w:tr w:rsidR="00D1131A" w:rsidTr="00731602">
        <w:trPr>
          <w:trHeight w:val="240"/>
        </w:trPr>
        <w:tc>
          <w:tcPr>
            <w:tcW w:w="2535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5 ou mais ocorrências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07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1131A" w:rsidRDefault="00D1131A">
            <w:pPr>
              <w:widowControl w:val="0"/>
              <w:spacing w:after="0"/>
              <w:jc w:val="left"/>
            </w:pPr>
          </w:p>
        </w:tc>
      </w:tr>
      <w:tr w:rsidR="00D1131A" w:rsidTr="00731602">
        <w:trPr>
          <w:trHeight w:val="549"/>
        </w:trPr>
        <w:tc>
          <w:tcPr>
            <w:tcW w:w="2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2 – Atraso no pagamento de salários e outros benefícios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Sem ocorrência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0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1131A" w:rsidRDefault="00D1131A"/>
        </w:tc>
      </w:tr>
      <w:tr w:rsidR="00D1131A" w:rsidTr="00731602">
        <w:trPr>
          <w:trHeight w:val="438"/>
        </w:trPr>
        <w:tc>
          <w:tcPr>
            <w:tcW w:w="2535" w:type="dxa"/>
            <w:vMerge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1 ou mais ocorrências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078" w:type="dxa"/>
            <w:vMerge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D1131A" w:rsidRDefault="00D1131A">
            <w:pPr>
              <w:widowControl w:val="0"/>
              <w:spacing w:after="0"/>
              <w:jc w:val="left"/>
            </w:pPr>
          </w:p>
        </w:tc>
      </w:tr>
      <w:tr w:rsidR="00D1131A" w:rsidTr="00731602">
        <w:trPr>
          <w:trHeight w:val="868"/>
        </w:trPr>
        <w:tc>
          <w:tcPr>
            <w:tcW w:w="25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t>3 – Falta de materiais e equipamentos previstos no contrato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Sem ocorrência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1131A" w:rsidRDefault="00D1131A"/>
        </w:tc>
      </w:tr>
      <w:tr w:rsidR="00D1131A" w:rsidTr="00731602">
        <w:trPr>
          <w:trHeight w:val="605"/>
        </w:trPr>
        <w:tc>
          <w:tcPr>
            <w:tcW w:w="2535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1 ou mais ocorrências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D1131A" w:rsidRDefault="00D1131A"/>
        </w:tc>
      </w:tr>
      <w:tr w:rsidR="00D1131A" w:rsidTr="00731602">
        <w:trPr>
          <w:trHeight w:val="24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1A" w:rsidRDefault="006B41DD">
            <w:pPr>
              <w:spacing w:after="0" w:line="240" w:lineRule="auto"/>
              <w:ind w:left="84" w:right="91"/>
            </w:pPr>
            <w:r>
              <w:lastRenderedPageBreak/>
              <w:t>4 – Qualidade dos serviços prestados previstos no contrato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Sem ocorrência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1A" w:rsidRDefault="00D1131A"/>
        </w:tc>
      </w:tr>
      <w:tr w:rsidR="00D1131A" w:rsidTr="00731602">
        <w:trPr>
          <w:trHeight w:val="635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31A" w:rsidRDefault="00D1131A">
            <w:pPr>
              <w:widowControl w:val="0"/>
              <w:spacing w:after="0"/>
              <w:jc w:val="lef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1 ou mais ocorrências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D1131A"/>
        </w:tc>
      </w:tr>
      <w:tr w:rsidR="00D1131A" w:rsidTr="00731602">
        <w:trPr>
          <w:trHeight w:val="635"/>
        </w:trPr>
        <w:tc>
          <w:tcPr>
            <w:tcW w:w="5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31A" w:rsidRDefault="006B41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Pontuação Total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D1131A">
            <w:pPr>
              <w:spacing w:line="220" w:lineRule="auto"/>
              <w:jc w:val="center"/>
            </w:pPr>
          </w:p>
        </w:tc>
        <w:tc>
          <w:tcPr>
            <w:tcW w:w="2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1131A" w:rsidRDefault="00D1131A"/>
        </w:tc>
      </w:tr>
    </w:tbl>
    <w:p w:rsidR="00D1131A" w:rsidRDefault="006B41DD">
      <w:pPr>
        <w:tabs>
          <w:tab w:val="left" w:pos="1888"/>
        </w:tabs>
      </w:pPr>
      <w:r>
        <w:tab/>
      </w:r>
    </w:p>
    <w:p w:rsidR="00D1131A" w:rsidRDefault="00D1131A">
      <w:pPr>
        <w:tabs>
          <w:tab w:val="left" w:pos="1888"/>
        </w:tabs>
      </w:pPr>
    </w:p>
    <w:p w:rsidR="00D1131A" w:rsidRDefault="006B4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right"/>
      </w:pPr>
      <w:r>
        <w:t>Recife, 2</w:t>
      </w:r>
      <w:r w:rsidR="00CA5146">
        <w:t>9</w:t>
      </w:r>
      <w:r>
        <w:t xml:space="preserve"> de julho de 2021.</w:t>
      </w:r>
    </w:p>
    <w:p w:rsidR="00D1131A" w:rsidRDefault="00D113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right"/>
      </w:pPr>
    </w:p>
    <w:p w:rsidR="00D1131A" w:rsidRDefault="006B41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  <w:r>
        <w:t>Assinatura dos Membros da Equipe de Planejamento</w:t>
      </w:r>
    </w:p>
    <w:tbl>
      <w:tblPr>
        <w:tblStyle w:val="aff1"/>
        <w:tblW w:w="8175" w:type="dxa"/>
        <w:tblInd w:w="726" w:type="dxa"/>
        <w:tblLayout w:type="fixed"/>
        <w:tblLook w:val="0400"/>
      </w:tblPr>
      <w:tblGrid>
        <w:gridCol w:w="4095"/>
        <w:gridCol w:w="4080"/>
      </w:tblGrid>
      <w:tr w:rsidR="00D1131A">
        <w:trPr>
          <w:trHeight w:val="46"/>
        </w:trPr>
        <w:tc>
          <w:tcPr>
            <w:tcW w:w="409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31A" w:rsidRDefault="006B41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</w:pPr>
            <w:r>
              <w:rPr>
                <w:b/>
              </w:rPr>
              <w:t>NOME DO(A) SERVIDOR(A)</w:t>
            </w:r>
          </w:p>
        </w:tc>
        <w:tc>
          <w:tcPr>
            <w:tcW w:w="4080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31A" w:rsidRDefault="006B41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</w:pPr>
            <w:r>
              <w:rPr>
                <w:b/>
              </w:rPr>
              <w:t>MATRÍCULA SIAPE</w:t>
            </w:r>
          </w:p>
        </w:tc>
      </w:tr>
      <w:tr w:rsidR="00D1131A">
        <w:trPr>
          <w:trHeight w:val="386"/>
        </w:trPr>
        <w:tc>
          <w:tcPr>
            <w:tcW w:w="409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31A" w:rsidRDefault="006B41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left"/>
            </w:pPr>
            <w:r>
              <w:t>Geraldo Cabral de Carvalho Filho</w:t>
            </w:r>
          </w:p>
        </w:tc>
        <w:tc>
          <w:tcPr>
            <w:tcW w:w="4080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31A" w:rsidRDefault="006B41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</w:pPr>
            <w:r>
              <w:t>2060183</w:t>
            </w:r>
          </w:p>
        </w:tc>
      </w:tr>
      <w:tr w:rsidR="00D1131A">
        <w:trPr>
          <w:trHeight w:val="450"/>
        </w:trPr>
        <w:tc>
          <w:tcPr>
            <w:tcW w:w="409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31A" w:rsidRDefault="006B41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left"/>
            </w:pPr>
            <w:r>
              <w:t>Nicolau Firmo Barbosa Spinelli</w:t>
            </w:r>
          </w:p>
        </w:tc>
        <w:tc>
          <w:tcPr>
            <w:tcW w:w="4080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31A" w:rsidRDefault="006B41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</w:pPr>
            <w:r>
              <w:t>3207458</w:t>
            </w:r>
          </w:p>
        </w:tc>
      </w:tr>
      <w:tr w:rsidR="00D1131A">
        <w:trPr>
          <w:trHeight w:val="444"/>
        </w:trPr>
        <w:tc>
          <w:tcPr>
            <w:tcW w:w="409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31A" w:rsidRDefault="006B41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left"/>
            </w:pPr>
            <w:r>
              <w:t>Maria Isabel Pinto de Oliveira</w:t>
            </w:r>
          </w:p>
        </w:tc>
        <w:tc>
          <w:tcPr>
            <w:tcW w:w="4080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1131A" w:rsidRDefault="006B41D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</w:pPr>
            <w:r>
              <w:t>1133506</w:t>
            </w:r>
          </w:p>
        </w:tc>
      </w:tr>
    </w:tbl>
    <w:p w:rsidR="00D1131A" w:rsidRDefault="00D1131A">
      <w:bookmarkStart w:id="0" w:name="_heading=h.gjdgxs" w:colFirst="0" w:colLast="0"/>
      <w:bookmarkEnd w:id="0"/>
    </w:p>
    <w:sectPr w:rsidR="00D1131A" w:rsidSect="00C41494">
      <w:headerReference w:type="default" r:id="rId8"/>
      <w:footerReference w:type="default" r:id="rId9"/>
      <w:pgSz w:w="11920" w:h="16840"/>
      <w:pgMar w:top="920" w:right="920" w:bottom="280" w:left="1480" w:header="731" w:footer="937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10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0A" w16cid:durableId="24AAA27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3DA" w:rsidRDefault="003863DA">
      <w:pPr>
        <w:spacing w:after="0" w:line="240" w:lineRule="auto"/>
      </w:pPr>
      <w:r>
        <w:separator/>
      </w:r>
    </w:p>
  </w:endnote>
  <w:endnote w:type="continuationSeparator" w:id="1">
    <w:p w:rsidR="003863DA" w:rsidRDefault="00386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1A" w:rsidRDefault="000F2A9A">
    <w:pPr>
      <w:tabs>
        <w:tab w:val="center" w:pos="4252"/>
        <w:tab w:val="right" w:pos="8504"/>
      </w:tabs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 w:rsidR="006B41DD"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CA5146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:rsidR="00D1131A" w:rsidRDefault="006B41DD">
    <w:pPr>
      <w:spacing w:after="0" w:line="240" w:lineRule="auto"/>
      <w:rPr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>Página integrante do Instrumento de Medição de Resultados para Contrata</w:t>
    </w:r>
    <w:r w:rsidR="00CA5146">
      <w:rPr>
        <w:rFonts w:ascii="Calibri" w:eastAsia="Calibri" w:hAnsi="Calibri" w:cs="Calibri"/>
        <w:sz w:val="16"/>
        <w:szCs w:val="16"/>
      </w:rPr>
      <w:t>ção de empresa para execução da</w:t>
    </w:r>
    <w:r>
      <w:rPr>
        <w:rFonts w:ascii="Calibri" w:eastAsia="Calibri" w:hAnsi="Calibri" w:cs="Calibri"/>
        <w:sz w:val="16"/>
        <w:szCs w:val="16"/>
      </w:rPr>
      <w:t xml:space="preserve"> Ampliação e Reforma do Restaurante Universitário do Campus Joaquim Amazonas da UFPE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3DA" w:rsidRDefault="003863DA">
      <w:pPr>
        <w:spacing w:after="0" w:line="240" w:lineRule="auto"/>
      </w:pPr>
      <w:r>
        <w:separator/>
      </w:r>
    </w:p>
  </w:footnote>
  <w:footnote w:type="continuationSeparator" w:id="1">
    <w:p w:rsidR="003863DA" w:rsidRDefault="00386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1A" w:rsidRDefault="006B41D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>
          <wp:extent cx="666750" cy="714375"/>
          <wp:effectExtent l="0" t="0" r="0" b="0"/>
          <wp:docPr id="10" name="image1.png" descr="Desenho de personagem de desenhos animados com texto preto sobre fundo branc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Desenho de personagem de desenhos animados com texto preto sobre fundo branc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D1131A" w:rsidRDefault="006B41D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60" w:after="0"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sz w:val="20"/>
        <w:szCs w:val="20"/>
      </w:rPr>
      <w:t>MINISTÉRIO DA EDUCAÇÃO</w:t>
    </w:r>
  </w:p>
  <w:p w:rsidR="00D1131A" w:rsidRDefault="006B41D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sz w:val="20"/>
        <w:szCs w:val="20"/>
      </w:rPr>
      <w:t>UNIVERSIDADE FEDERAL DE PERNAMBUCO</w:t>
    </w:r>
  </w:p>
  <w:p w:rsidR="00D1131A" w:rsidRDefault="006B41D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sz w:val="20"/>
        <w:szCs w:val="20"/>
      </w:rPr>
      <w:t>SUPERINTENDÊNCIA DE INFRAESTRUTURA</w:t>
    </w:r>
  </w:p>
  <w:p w:rsidR="00D1131A" w:rsidRDefault="00D1131A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7686"/>
    <w:multiLevelType w:val="multilevel"/>
    <w:tmpl w:val="8D14CEF6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964" w:hanging="680"/>
      </w:pPr>
    </w:lvl>
    <w:lvl w:ilvl="3">
      <w:start w:val="1"/>
      <w:numFmt w:val="upperLetter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131A"/>
    <w:rsid w:val="000F2A9A"/>
    <w:rsid w:val="003863DA"/>
    <w:rsid w:val="006B41DD"/>
    <w:rsid w:val="00731602"/>
    <w:rsid w:val="007A4A85"/>
    <w:rsid w:val="00A567AC"/>
    <w:rsid w:val="00C41494"/>
    <w:rsid w:val="00CA5146"/>
    <w:rsid w:val="00D11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5F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Ttulo1">
    <w:name w:val="heading 1"/>
    <w:basedOn w:val="Normal"/>
    <w:next w:val="Normal"/>
    <w:link w:val="Ttulo1Char"/>
    <w:uiPriority w:val="9"/>
    <w:qFormat/>
    <w:rsid w:val="005B6433"/>
    <w:pPr>
      <w:spacing w:before="200" w:after="0"/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3E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3E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C3E1E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3E1E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3E1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95E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 w:cstheme="minorBidi"/>
      <w:color w:val="auto"/>
      <w:lang w:val="en-US"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95E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 w:cstheme="minorBidi"/>
      <w:i/>
      <w:iCs/>
      <w:color w:val="auto"/>
      <w:lang w:val="en-US"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95E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color w:val="auto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C4149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"/>
    <w:next w:val="Normal"/>
    <w:link w:val="TtuloChar"/>
    <w:uiPriority w:val="10"/>
    <w:qFormat/>
    <w:rsid w:val="00FC265F"/>
    <w:pPr>
      <w:jc w:val="center"/>
    </w:pPr>
  </w:style>
  <w:style w:type="table" w:customStyle="1" w:styleId="TableNormal0">
    <w:name w:val="Table Normal"/>
    <w:rsid w:val="00C4149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C3E1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C3E1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AC3E1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har">
    <w:name w:val="Título Char"/>
    <w:basedOn w:val="Fontepargpadro"/>
    <w:link w:val="Ttulo"/>
    <w:uiPriority w:val="10"/>
    <w:rsid w:val="00FC265F"/>
    <w:rPr>
      <w:rFonts w:ascii="Arial" w:eastAsia="Arial" w:hAnsi="Arial" w:cs="Arial"/>
      <w:b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16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paragraph" w:styleId="Cabealho">
    <w:name w:val="header"/>
    <w:basedOn w:val="Normal"/>
    <w:link w:val="CabealhoChar"/>
    <w:uiPriority w:val="99"/>
    <w:unhideWhenUsed/>
    <w:rsid w:val="00F948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9480D"/>
    <w:rPr>
      <w:rFonts w:ascii="Calibri" w:eastAsia="Calibri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48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9480D"/>
    <w:rPr>
      <w:rFonts w:ascii="Calibri" w:eastAsia="Calibri" w:hAnsi="Calibri" w:cs="Calibri"/>
      <w:color w:val="000000"/>
      <w:lang w:eastAsia="pt-BR"/>
    </w:rPr>
  </w:style>
  <w:style w:type="paragraph" w:styleId="Subttulo">
    <w:name w:val="Subtitle"/>
    <w:basedOn w:val="Normal"/>
    <w:next w:val="Normal"/>
    <w:uiPriority w:val="11"/>
    <w:qFormat/>
    <w:rsid w:val="00C4149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3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3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3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3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3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3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3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2"/>
    <w:rsid w:val="00AC3E1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2"/>
    <w:rsid w:val="00AC3E1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comgrade">
    <w:name w:val="Table Grid"/>
    <w:basedOn w:val="Tabelanormal"/>
    <w:uiPriority w:val="39"/>
    <w:rsid w:val="00E95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35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58BA"/>
    <w:rPr>
      <w:rFonts w:ascii="Tahoma" w:hAnsi="Tahoma" w:cs="Tahoma"/>
      <w:color w:val="000000"/>
      <w:sz w:val="16"/>
      <w:szCs w:val="1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95EF3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95EF3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95EF3"/>
    <w:rPr>
      <w:rFonts w:asciiTheme="majorHAnsi" w:eastAsiaTheme="majorEastAsia" w:hAnsiTheme="majorHAnsi" w:cstheme="majorBidi"/>
      <w:lang w:val="en-US" w:eastAsia="en-US"/>
    </w:rPr>
  </w:style>
  <w:style w:type="character" w:customStyle="1" w:styleId="Ttulo1Char">
    <w:name w:val="Título 1 Char"/>
    <w:basedOn w:val="Fontepargpadro"/>
    <w:link w:val="Ttulo1"/>
    <w:uiPriority w:val="9"/>
    <w:rsid w:val="005B6433"/>
    <w:rPr>
      <w:rFonts w:ascii="Arial" w:eastAsia="Arial" w:hAnsi="Arial" w:cs="Arial"/>
      <w:b/>
      <w:color w:val="000000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95EF3"/>
    <w:rPr>
      <w:b/>
      <w:color w:val="000000"/>
      <w:sz w:val="36"/>
      <w:szCs w:val="3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95EF3"/>
    <w:rPr>
      <w:b/>
      <w:color w:val="000000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95EF3"/>
    <w:rPr>
      <w:b/>
      <w:color w:val="000000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95EF3"/>
    <w:rPr>
      <w:b/>
      <w:color w:val="000000"/>
    </w:rPr>
  </w:style>
  <w:style w:type="character" w:customStyle="1" w:styleId="Ttulo6Char">
    <w:name w:val="Título 6 Char"/>
    <w:basedOn w:val="Fontepargpadro"/>
    <w:link w:val="Ttulo6"/>
    <w:rsid w:val="00295EF3"/>
    <w:rPr>
      <w:b/>
      <w:color w:val="000000"/>
      <w:sz w:val="20"/>
      <w:szCs w:val="20"/>
    </w:rPr>
  </w:style>
  <w:style w:type="table" w:customStyle="1" w:styleId="af3">
    <w:basedOn w:val="TableNormal1"/>
    <w:rsid w:val="00C414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1"/>
    <w:rsid w:val="00C414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1"/>
    <w:rsid w:val="00C414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1"/>
    <w:rsid w:val="00C414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1"/>
    <w:rsid w:val="00C414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1"/>
    <w:rsid w:val="00C414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1"/>
    <w:rsid w:val="00C414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grafodaLista">
    <w:name w:val="List Paragraph"/>
    <w:basedOn w:val="Normal"/>
    <w:uiPriority w:val="34"/>
    <w:qFormat/>
    <w:rsid w:val="00FC265F"/>
    <w:pPr>
      <w:spacing w:after="100"/>
      <w:ind w:left="720"/>
    </w:pPr>
  </w:style>
  <w:style w:type="character" w:styleId="Forte">
    <w:name w:val="Strong"/>
    <w:basedOn w:val="nfase"/>
    <w:uiPriority w:val="22"/>
    <w:qFormat/>
    <w:rsid w:val="00FC265F"/>
    <w:rPr>
      <w:rFonts w:ascii="Arial" w:hAnsi="Arial"/>
      <w:b/>
      <w:bCs/>
      <w:i w:val="0"/>
      <w:iCs/>
      <w:sz w:val="24"/>
    </w:rPr>
  </w:style>
  <w:style w:type="character" w:styleId="nfase">
    <w:name w:val="Emphasis"/>
    <w:basedOn w:val="Fontepargpadro"/>
    <w:uiPriority w:val="20"/>
    <w:qFormat/>
    <w:rsid w:val="00FC265F"/>
    <w:rPr>
      <w:i/>
      <w:iCs/>
    </w:rPr>
  </w:style>
  <w:style w:type="table" w:customStyle="1" w:styleId="afa">
    <w:basedOn w:val="TableNormal0"/>
    <w:rsid w:val="00C414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C414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C414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rsid w:val="00C414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rsid w:val="00C4149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C414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rsid w:val="00C414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rsid w:val="00C4149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4149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41494"/>
    <w:rPr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C4149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xCBO/yQmKRnqstJ1NAO+I5djeA==">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1240</Words>
  <Characters>6696</Characters>
  <Application>Microsoft Office Word</Application>
  <DocSecurity>0</DocSecurity>
  <Lines>55</Lines>
  <Paragraphs>15</Paragraphs>
  <ScaleCrop>false</ScaleCrop>
  <Company/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Nicolau Spinelli</dc:creator>
  <cp:lastModifiedBy>Adauto</cp:lastModifiedBy>
  <cp:revision>7</cp:revision>
  <cp:lastPrinted>2021-07-28T19:23:00Z</cp:lastPrinted>
  <dcterms:created xsi:type="dcterms:W3CDTF">2021-07-01T13:06:00Z</dcterms:created>
  <dcterms:modified xsi:type="dcterms:W3CDTF">2021-07-28T19:24:00Z</dcterms:modified>
</cp:coreProperties>
</file>